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CF57FDC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074424" w:rsidRPr="009C31D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457ª, 458ª, 459ª, 460ª, 461ª E 462ª</w:t>
      </w:r>
      <w:r w:rsidR="00074424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652161">
        <w:rPr>
          <w:rFonts w:ascii="Open Sans" w:hAnsi="Open Sans" w:cs="Open Sans"/>
          <w:b/>
          <w:bCs/>
          <w:caps/>
          <w:sz w:val="20"/>
          <w:szCs w:val="20"/>
        </w:rPr>
        <w:t>18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652161">
        <w:rPr>
          <w:rFonts w:ascii="Open Sans" w:hAnsi="Open Sans" w:cs="Open Sans"/>
          <w:b/>
          <w:sz w:val="20"/>
          <w:szCs w:val="20"/>
        </w:rPr>
        <w:t xml:space="preserve">ABRIL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F6C661" w14:textId="11740D11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>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presentação, 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pela Emissora, dos atos praticados e das medidas adotadas pela Securitizadora no âmbito da </w:t>
      </w:r>
      <w:r>
        <w:rPr>
          <w:rFonts w:ascii="Open Sans" w:hAnsi="Open Sans" w:cs="Open Sans"/>
          <w:color w:val="000000" w:themeColor="text1"/>
          <w:sz w:val="20"/>
          <w:szCs w:val="20"/>
        </w:rPr>
        <w:t>administração do Patrimônio Separado,</w:t>
      </w:r>
      <w:r w:rsidRPr="00462AC8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o que inclui, mas sem limitação, as eventuais medidas adotadas no âmbito da ação cautelar ajuizada pela Devedora e outras sociedades pertencentes ao seu grupo econômico e em trâmite na 2ª Vara Judicial da Comarca de Gramado / RS sob o nº 5001925-69.2023.8.21.0101</w:t>
      </w:r>
      <w:r w:rsidRPr="0076515E">
        <w:rPr>
          <w:rFonts w:ascii="Open Sans" w:hAnsi="Open Sans" w:cs="Open Sans"/>
          <w:sz w:val="20"/>
          <w:szCs w:val="20"/>
          <w:shd w:val="clear" w:color="auto" w:fill="FFFFFF"/>
        </w:rPr>
        <w:t>;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F41FD8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A6D665B" w14:textId="3340B9EA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Pr="00F75522">
        <w:rPr>
          <w:rFonts w:ascii="Open Sans" w:hAnsi="Open Sans" w:cs="Open Sans"/>
          <w:color w:val="000000" w:themeColor="text1"/>
          <w:sz w:val="20"/>
          <w:szCs w:val="20"/>
        </w:rPr>
        <w:t>ou não, da exigência da Recompra Total dos Créditos Imobiliários Frações Imobiliárias e declaração de vencimento antecipado da CCB (“</w:t>
      </w:r>
      <w:r w:rsidRPr="00E6251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Recompra Total e Vencimento Antecipado</w:t>
      </w:r>
      <w:r w:rsidRPr="00F75522">
        <w:rPr>
          <w:rFonts w:ascii="Open Sans" w:hAnsi="Open Sans" w:cs="Open Sans"/>
          <w:color w:val="000000" w:themeColor="text1"/>
          <w:sz w:val="20"/>
          <w:szCs w:val="20"/>
        </w:rPr>
        <w:t xml:space="preserve">”), nos termos da Cláusula 6.7 do Contrato de Cessão e da Cláusula 10.2 da CCB, respectivamente, em virtude da ocorrência das Hipóteses de Recompra Total dos Créditos Imobiliários Frações Imobiliárias e dos Eventos de Vencimento Antecipado previstos nas </w:t>
      </w:r>
      <w:r w:rsidRPr="00F755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Cláusulas 6.4(b) e 6.4(v) do Contrato de Cessão e nas Cláusulas 10.1(b) e 10.1(u) da CCB</w:t>
      </w:r>
      <w:r w:rsidRPr="00F75522">
        <w:rPr>
          <w:rFonts w:ascii="Open Sans" w:hAnsi="Open Sans" w:cs="Open Sans"/>
          <w:color w:val="000000" w:themeColor="text1"/>
          <w:sz w:val="20"/>
          <w:szCs w:val="20"/>
        </w:rPr>
        <w:t xml:space="preserve">, respectivamente, devido ao descumprimento, pela GTR, da obrigação pecuniária assumida na Cláusula 3.3 do Contrato de Cessão, correspondente à não realização de repasse de pagamentos de Créditos Imobiliários Frações Imobiliárias e de Créditos Imobiliários Cedidos Fiduciariamente recebidos em contas bancárias distintas da Conta Centralizadora, não sanada no prazo de 5 (cinco) Dias Úteis a contar da data em que tal obrigação se tornou devida, mesmo após o recebimento de reiteradas </w:t>
      </w:r>
      <w:r w:rsidRPr="00F75522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notificações enviadas pela Securitizadora, observado que, caso o risco de perecimento imediato dos direitos e bens vinculados ao Patrimônio Separado torne necessária a exigência, pela Emissora, da Recompra Total e Vencimento Antecipado anteriormente à realização da Assembleia, a eventual aprovação dos Titulares dos CRI dar-se-á em caráter retroativo e de ratificação;</w:t>
      </w:r>
    </w:p>
    <w:p w14:paraId="61FCA007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5B6BD9" w14:textId="66B1E34B" w:rsidR="00C403CD" w:rsidRDefault="00CC2561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r w:rsidR="00F755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1C38AC">
        <w:rPr>
          <w:rFonts w:ascii="Open Sans" w:hAnsi="Open Sans" w:cs="Open Sans"/>
          <w:color w:val="000000" w:themeColor="text1"/>
          <w:sz w:val="20"/>
          <w:szCs w:val="20"/>
        </w:rPr>
        <w:t xml:space="preserve">caso </w:t>
      </w:r>
      <w:r w:rsidR="00F75522">
        <w:rPr>
          <w:rFonts w:ascii="Open Sans" w:hAnsi="Open Sans" w:cs="Open Sans"/>
          <w:color w:val="000000" w:themeColor="text1"/>
          <w:sz w:val="20"/>
          <w:szCs w:val="20"/>
        </w:rPr>
        <w:t xml:space="preserve">aprovado </w:t>
      </w:r>
      <w:r w:rsidR="00F75522" w:rsidRPr="00F75522">
        <w:rPr>
          <w:rFonts w:ascii="Open Sans" w:hAnsi="Open Sans" w:cs="Open Sans"/>
          <w:color w:val="000000" w:themeColor="text1"/>
          <w:sz w:val="20"/>
          <w:szCs w:val="20"/>
        </w:rPr>
        <w:t>o item (</w:t>
      </w:r>
      <w:proofErr w:type="spellStart"/>
      <w:r w:rsidR="00F75522" w:rsidRPr="00F75522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="00F75522" w:rsidRPr="00F75522">
        <w:rPr>
          <w:rFonts w:ascii="Open Sans" w:hAnsi="Open Sans" w:cs="Open Sans"/>
          <w:color w:val="000000" w:themeColor="text1"/>
          <w:sz w:val="20"/>
          <w:szCs w:val="20"/>
        </w:rPr>
        <w:t xml:space="preserve">) acima, a aprovação, ou não: </w:t>
      </w:r>
      <w:r w:rsidR="00F75522" w:rsidRPr="00F755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="00F75522" w:rsidRPr="00F75522">
        <w:rPr>
          <w:rFonts w:ascii="Open Sans" w:hAnsi="Open Sans" w:cs="Open Sans"/>
          <w:color w:val="000000" w:themeColor="text1"/>
          <w:sz w:val="20"/>
          <w:szCs w:val="20"/>
        </w:rPr>
        <w:t xml:space="preserve"> do ajuizamento de ação de execução de título executivo extrajudicial em face da GTR e/ou dos Fiadores, com o objetivo de demandar o cumprimento das obrigações de pagar o Valor da Recompra Total (conforme definido no Contrato de Cessão) e o Valor de Liquidação da CCB por Vencimento Antecipado; </w:t>
      </w:r>
      <w:r w:rsidR="00F75522" w:rsidRPr="00F755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F75522" w:rsidRPr="00F75522">
        <w:rPr>
          <w:rFonts w:ascii="Open Sans" w:hAnsi="Open Sans" w:cs="Open Sans"/>
          <w:color w:val="000000" w:themeColor="text1"/>
          <w:sz w:val="20"/>
          <w:szCs w:val="20"/>
        </w:rPr>
        <w:t xml:space="preserve"> da excussão das Garantias; </w:t>
      </w:r>
      <w:r w:rsidR="00F75522" w:rsidRPr="00F755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(c)</w:t>
      </w:r>
      <w:r w:rsidR="00F75522" w:rsidRPr="00F75522">
        <w:rPr>
          <w:rFonts w:ascii="Open Sans" w:hAnsi="Open Sans" w:cs="Open Sans"/>
          <w:color w:val="000000" w:themeColor="text1"/>
          <w:sz w:val="20"/>
          <w:szCs w:val="20"/>
        </w:rPr>
        <w:t xml:space="preserve"> da defesa da Securitizadora, na qualidade de administradora do Patrimônio Separado, no âmbito de eventual processo de recuperação judicial ou de falência da GTR e/ou de qualquer dos Fiadores; </w:t>
      </w:r>
      <w:r w:rsidR="00F75522" w:rsidRPr="00F755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(d)</w:t>
      </w:r>
      <w:r w:rsidR="00F75522" w:rsidRPr="00F75522">
        <w:rPr>
          <w:rFonts w:ascii="Open Sans" w:hAnsi="Open Sans" w:cs="Open Sans"/>
          <w:color w:val="000000" w:themeColor="text1"/>
          <w:sz w:val="20"/>
          <w:szCs w:val="20"/>
        </w:rPr>
        <w:t xml:space="preserve"> da defesa da Securitizadora, na qualidade de administradora do Patrimônio Separado, no âmbito de eventual procedimento arbitral requerido pela GTR e/ou por qualquer dos Fiadores ou pela Securitizadora; e </w:t>
      </w:r>
      <w:r w:rsidR="00F75522" w:rsidRPr="00F755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(e)</w:t>
      </w:r>
      <w:r w:rsidR="00F75522" w:rsidRPr="00F75522">
        <w:rPr>
          <w:rFonts w:ascii="Open Sans" w:hAnsi="Open Sans" w:cs="Open Sans"/>
          <w:color w:val="000000" w:themeColor="text1"/>
          <w:sz w:val="20"/>
          <w:szCs w:val="20"/>
        </w:rPr>
        <w:t xml:space="preserve"> caso seja identificada qualquer conduta criminosa por parte de qualquer dos sócios e/ou membros da administração da GTR e/ou por qualquer dos Fiadores e/ou por qualquer dos membros de seu grupo econômico, do pedido de instauração de inquérito policial, bem como da representação junto ao Ministério Público competente ou do ajuizamento de queixa-crime, observado que, caso o risco de perecimento imediato dos direitos e bens vinculados ao Patrimônio Separado torne necessária a adoção, pela Emissora, de qualquer das medidas acima listadas, anteriormente à realização da Assembleia, a eventual aprovação dos Titulares dos CRI dar-se-á em caráter retroativo e de ratificação;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8956BED" w14:textId="77777777" w:rsidR="00004972" w:rsidRDefault="00004972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C8D862" w14:textId="2C164F13" w:rsidR="00835B59" w:rsidRDefault="00835B59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="00B96C9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212B44">
        <w:rPr>
          <w:rFonts w:ascii="Open Sans" w:hAnsi="Open Sans" w:cs="Open Sans"/>
          <w:color w:val="000000" w:themeColor="text1"/>
          <w:sz w:val="20"/>
          <w:szCs w:val="20"/>
        </w:rPr>
        <w:t xml:space="preserve">caso 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>aprovado o item (</w:t>
      </w:r>
      <w:proofErr w:type="spellStart"/>
      <w:r w:rsidR="00B96C91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="00B96C91">
        <w:rPr>
          <w:rFonts w:ascii="Open Sans" w:hAnsi="Open Sans" w:cs="Open Sans"/>
          <w:color w:val="000000" w:themeColor="text1"/>
          <w:sz w:val="20"/>
          <w:szCs w:val="20"/>
        </w:rPr>
        <w:t xml:space="preserve">) acima, a aprovação, ou não, da contratação do </w:t>
      </w:r>
      <w:r w:rsidR="00B96C91" w:rsidRPr="008405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Escritório de Advocacia </w:t>
      </w:r>
      <w:r w:rsidR="00B96C91" w:rsidRPr="003B121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Sérgio Bermudes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assessor legal que irá representar </w:t>
      </w:r>
      <w:r w:rsidR="00B96C91" w:rsidRPr="0076515E">
        <w:rPr>
          <w:rFonts w:ascii="Open Sans" w:hAnsi="Open Sans" w:cs="Open Sans"/>
          <w:color w:val="000000" w:themeColor="text1"/>
          <w:sz w:val="20"/>
          <w:szCs w:val="20"/>
        </w:rPr>
        <w:t>a Emissora, na qualidade de administradora do Patrimônio Separado, n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>os atos indicados nos itens (</w:t>
      </w:r>
      <w:proofErr w:type="spellStart"/>
      <w:r w:rsidR="00B96C91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="00B96C91">
        <w:rPr>
          <w:rFonts w:ascii="Open Sans" w:hAnsi="Open Sans" w:cs="Open Sans"/>
          <w:color w:val="000000" w:themeColor="text1"/>
          <w:sz w:val="20"/>
          <w:szCs w:val="20"/>
        </w:rPr>
        <w:t>) e (</w:t>
      </w:r>
      <w:proofErr w:type="spellStart"/>
      <w:r w:rsidR="00B96C91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="00B96C91">
        <w:rPr>
          <w:rFonts w:ascii="Open Sans" w:hAnsi="Open Sans" w:cs="Open Sans"/>
          <w:color w:val="000000" w:themeColor="text1"/>
          <w:sz w:val="20"/>
          <w:szCs w:val="20"/>
        </w:rPr>
        <w:t xml:space="preserve">) acima, conforme </w:t>
      </w:r>
      <w:r w:rsidR="00B96C91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proposta de honorários 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>constante d</w:t>
      </w:r>
      <w:r w:rsidR="00B96C91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o </w:t>
      </w:r>
      <w:r w:rsidR="00B96C91" w:rsidRPr="00146305">
        <w:rPr>
          <w:rFonts w:ascii="Open Sans" w:hAnsi="Open Sans" w:cs="Open Sans"/>
          <w:color w:val="000000" w:themeColor="text1"/>
          <w:sz w:val="20"/>
          <w:szCs w:val="20"/>
        </w:rPr>
        <w:t>Anexo I</w:t>
      </w:r>
      <w:r w:rsidR="00B96C91" w:rsidRPr="00690A5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46305">
        <w:rPr>
          <w:rFonts w:ascii="Open Sans" w:hAnsi="Open Sans" w:cs="Open Sans"/>
          <w:color w:val="000000" w:themeColor="text1"/>
          <w:sz w:val="20"/>
          <w:szCs w:val="20"/>
        </w:rPr>
        <w:t>ao Edital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B96C91" w:rsidRPr="00D31B8A">
        <w:rPr>
          <w:rFonts w:ascii="Open Sans" w:hAnsi="Open Sans" w:cs="Open Sans"/>
          <w:color w:val="000000" w:themeColor="text1"/>
          <w:sz w:val="20"/>
          <w:szCs w:val="20"/>
        </w:rPr>
        <w:t xml:space="preserve">observado que, 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>caso o risco de perecimento imediato dos direitos e bens vinculados ao Patrimônio Separado torne necessária a adoção, pela Emissora, de qualquer das medidas listadas no item (</w:t>
      </w:r>
      <w:proofErr w:type="spellStart"/>
      <w:r w:rsidR="00B96C91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="00B96C91">
        <w:rPr>
          <w:rFonts w:ascii="Open Sans" w:hAnsi="Open Sans" w:cs="Open Sans"/>
          <w:color w:val="000000" w:themeColor="text1"/>
          <w:sz w:val="20"/>
          <w:szCs w:val="20"/>
        </w:rPr>
        <w:t>) acima, anteriormente à realização da Assembleia</w:t>
      </w:r>
      <w:r w:rsidR="00B96C91" w:rsidRPr="00D31B8A">
        <w:rPr>
          <w:rFonts w:ascii="Open Sans" w:hAnsi="Open Sans" w:cs="Open Sans"/>
          <w:color w:val="000000" w:themeColor="text1"/>
          <w:sz w:val="20"/>
          <w:szCs w:val="20"/>
        </w:rPr>
        <w:t>, a eventual aprovação dos Titulares dos CRI dar-se-á em caráter retroativo e de ratificação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12B61F82" w14:textId="77777777" w:rsidR="00212B44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5421DCA6" w14:textId="7CD7D71E" w:rsidR="00835B59" w:rsidRDefault="00835B59" w:rsidP="00835B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F6491EE" w14:textId="503F575D" w:rsidR="00FA1DE4" w:rsidRDefault="00FA1DE4" w:rsidP="00835B5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A9A90A9" w14:textId="56AC68A1" w:rsidR="00FA1DE4" w:rsidRDefault="00FA1DE4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5B04F2A0" w14:textId="1C671DF0" w:rsidR="00C34EBD" w:rsidRPr="00C34EBD" w:rsidRDefault="00C34EBD" w:rsidP="00C34EBD">
      <w:pPr>
        <w:spacing w:line="276" w:lineRule="auto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34EB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(v)</w:t>
      </w:r>
      <w:r w:rsidRPr="00C34EB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C34EB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 xml:space="preserve">ou não, de autorização prévia para eventual contratação, a exclusivo critério da Securitizadora: </w:t>
      </w:r>
      <w:r w:rsidR="00B96C91" w:rsidRPr="009F74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B96C9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</w:t>
      </w:r>
      <w:r w:rsidR="00B96C91" w:rsidRPr="009F742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 xml:space="preserve"> de assessor legal com notórios conhecimento e experiência para eventuais pleitos de natureza criminal que se façam necessários; e </w:t>
      </w:r>
      <w:r w:rsidR="00B96C91" w:rsidRPr="000D523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B96C9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b</w:t>
      </w:r>
      <w:r w:rsidR="00B96C91" w:rsidRPr="000D523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) 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>de empresa especializada em serviços de investigação patrimonial e de eventuais não-conformidades relacionadas à Cedente e aos Fiadores com notória experiência;</w:t>
      </w:r>
    </w:p>
    <w:p w14:paraId="78D8AD2B" w14:textId="77777777" w:rsidR="001C38AC" w:rsidRDefault="001C38AC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B783133" w14:textId="77777777" w:rsidR="001C38AC" w:rsidRPr="007A3B89" w:rsidRDefault="001C38AC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D043EA1" w14:textId="77777777" w:rsidR="001C38AC" w:rsidRPr="007A3B89" w:rsidRDefault="001C38AC" w:rsidP="001C38AC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FE600C8" w14:textId="77777777" w:rsidR="001C38AC" w:rsidRDefault="001C38AC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022E6F5" w14:textId="1E6B9AE1" w:rsidR="00212B44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AC487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 w:rsidR="00E757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AC487E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B96C91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do procedimento 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 xml:space="preserve">de prestação de contas referentes às despesas incorridas na administração e na defesa do Patrimônio Separado </w:t>
      </w:r>
      <w:r w:rsidR="00B96C91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previsto </w:t>
      </w:r>
      <w:r w:rsidR="00B96C91" w:rsidRPr="00146305">
        <w:rPr>
          <w:rFonts w:ascii="Open Sans" w:hAnsi="Open Sans" w:cs="Open Sans"/>
          <w:color w:val="000000" w:themeColor="text1"/>
          <w:sz w:val="20"/>
          <w:szCs w:val="20"/>
        </w:rPr>
        <w:t>no Anexo II</w:t>
      </w:r>
      <w:r w:rsidR="00B96C91" w:rsidRPr="00F7773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46305">
        <w:rPr>
          <w:rFonts w:ascii="Open Sans" w:hAnsi="Open Sans" w:cs="Open Sans"/>
          <w:color w:val="000000" w:themeColor="text1"/>
          <w:sz w:val="20"/>
          <w:szCs w:val="20"/>
        </w:rPr>
        <w:t>ao Edital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6032B47" w14:textId="77777777" w:rsidR="00212B44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2A040AD" w14:textId="77777777" w:rsidR="00212B44" w:rsidRPr="007A3B89" w:rsidRDefault="00212B44" w:rsidP="00212B4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8DDE651" w14:textId="77777777" w:rsidR="00212B44" w:rsidRPr="007A3B89" w:rsidRDefault="00212B44" w:rsidP="00212B4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3D9977A" w14:textId="77777777" w:rsidR="00212B44" w:rsidRPr="007A3B89" w:rsidRDefault="00212B44" w:rsidP="00212B44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7127A6" w14:textId="0DB74926" w:rsidR="00570E9C" w:rsidRDefault="00570E9C" w:rsidP="00570E9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 w:rsidR="00E757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004972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B96C91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da 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>CRI</w:t>
      </w:r>
      <w:r w:rsidR="00B96C91" w:rsidRPr="00546C8F">
        <w:rPr>
          <w:rFonts w:ascii="Open Sans" w:hAnsi="Open Sans" w:cs="Open Sans"/>
          <w:color w:val="000000" w:themeColor="text1"/>
          <w:sz w:val="20"/>
          <w:szCs w:val="20"/>
        </w:rPr>
        <w:t>, inclusive, mas sem limitação, o ajuizamento de ação de execução de qualquer dos Documentos da Operação, e/ou a excussão de qualquer das Garantias</w:t>
      </w:r>
      <w:r w:rsidR="00B96C91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5C0AEF42" w14:textId="77777777" w:rsidR="00570E9C" w:rsidRDefault="00570E9C" w:rsidP="00570E9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A899CA8" w14:textId="77777777" w:rsidR="00570E9C" w:rsidRPr="007A3B89" w:rsidRDefault="00570E9C" w:rsidP="00570E9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C4B9F29" w14:textId="77777777" w:rsidR="00570E9C" w:rsidRPr="007A3B89" w:rsidRDefault="00570E9C" w:rsidP="00570E9C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D9446D" w14:textId="77777777" w:rsidR="00212B44" w:rsidRPr="007A3B89" w:rsidRDefault="00212B44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E3AD142" w:rsidR="00FB0D24" w:rsidRPr="00914F1C" w:rsidRDefault="00FB0D24" w:rsidP="0041488C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074424" w:rsidRPr="00074424">
        <w:rPr>
          <w:rFonts w:ascii="Open Sans" w:hAnsi="Open Sans" w:cs="Open Sans"/>
          <w:sz w:val="20"/>
          <w:szCs w:val="20"/>
        </w:rPr>
        <w:t xml:space="preserve">457ª, 458ª, 459ª, 460ª, 461ª </w:t>
      </w:r>
      <w:r w:rsidR="00074424">
        <w:rPr>
          <w:rFonts w:ascii="Open Sans" w:hAnsi="Open Sans" w:cs="Open Sans"/>
          <w:sz w:val="20"/>
          <w:szCs w:val="20"/>
        </w:rPr>
        <w:t>e</w:t>
      </w:r>
      <w:r w:rsidR="00074424" w:rsidRPr="00074424">
        <w:rPr>
          <w:rFonts w:ascii="Open Sans" w:hAnsi="Open Sans" w:cs="Open Sans"/>
          <w:sz w:val="20"/>
          <w:szCs w:val="20"/>
        </w:rPr>
        <w:t xml:space="preserve"> 462ª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07442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457ª, 458ª, 459ª, 460ª, 461ª e 462ª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C46852" w:rsidRPr="00371E44">
        <w:rPr>
          <w:rFonts w:ascii="Open Sans" w:hAnsi="Open Sans" w:cs="Open Sans"/>
          <w:sz w:val="20"/>
          <w:szCs w:val="20"/>
        </w:rPr>
        <w:t>15</w:t>
      </w:r>
      <w:r w:rsidR="007370A4" w:rsidRPr="00371E44">
        <w:rPr>
          <w:rFonts w:ascii="Open Sans" w:hAnsi="Open Sans" w:cs="Open Sans"/>
          <w:sz w:val="20"/>
          <w:szCs w:val="20"/>
        </w:rPr>
        <w:t xml:space="preserve"> de </w:t>
      </w:r>
      <w:r w:rsidR="00C46852" w:rsidRPr="00371E44">
        <w:rPr>
          <w:rFonts w:ascii="Open Sans" w:hAnsi="Open Sans" w:cs="Open Sans"/>
          <w:sz w:val="20"/>
          <w:szCs w:val="20"/>
        </w:rPr>
        <w:t>julho</w:t>
      </w:r>
      <w:r w:rsidR="007370A4" w:rsidRPr="00371E44">
        <w:rPr>
          <w:rFonts w:ascii="Open Sans" w:hAnsi="Open Sans" w:cs="Open Sans"/>
          <w:sz w:val="20"/>
          <w:szCs w:val="20"/>
        </w:rPr>
        <w:t xml:space="preserve"> de 202</w:t>
      </w:r>
      <w:r w:rsidR="00C46852" w:rsidRPr="00371E44">
        <w:rPr>
          <w:rFonts w:ascii="Open Sans" w:hAnsi="Open Sans" w:cs="Open Sans"/>
          <w:sz w:val="20"/>
          <w:szCs w:val="20"/>
        </w:rPr>
        <w:t>0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41488C" w:rsidRPr="00371E44">
        <w:rPr>
          <w:rFonts w:ascii="Open Sans" w:hAnsi="Open Sans" w:cs="Open Sans"/>
          <w:sz w:val="20"/>
          <w:szCs w:val="20"/>
        </w:rPr>
        <w:t>Simplific</w:t>
      </w:r>
      <w:proofErr w:type="spellEnd"/>
      <w:r w:rsidR="0041488C" w:rsidRPr="00371E44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41488C" w:rsidRPr="00371E44">
        <w:rPr>
          <w:rFonts w:ascii="Open Sans" w:hAnsi="Open Sans" w:cs="Open Sans"/>
          <w:sz w:val="20"/>
          <w:szCs w:val="20"/>
        </w:rPr>
        <w:t>Pavarini</w:t>
      </w:r>
      <w:proofErr w:type="spellEnd"/>
      <w:r w:rsidR="0041488C" w:rsidRPr="00371E44">
        <w:rPr>
          <w:rFonts w:ascii="Open Sans" w:hAnsi="Open Sans" w:cs="Open Sans"/>
          <w:sz w:val="20"/>
          <w:szCs w:val="20"/>
        </w:rPr>
        <w:t xml:space="preserve"> Distribuidora </w:t>
      </w:r>
      <w:r w:rsidR="003C64B4" w:rsidRPr="00371E44">
        <w:rPr>
          <w:rFonts w:ascii="Open Sans" w:hAnsi="Open Sans" w:cs="Open Sans"/>
          <w:sz w:val="20"/>
          <w:szCs w:val="20"/>
        </w:rPr>
        <w:t>d</w:t>
      </w:r>
      <w:r w:rsidR="0041488C" w:rsidRPr="00371E44">
        <w:rPr>
          <w:rFonts w:ascii="Open Sans" w:hAnsi="Open Sans" w:cs="Open Sans"/>
          <w:sz w:val="20"/>
          <w:szCs w:val="20"/>
        </w:rPr>
        <w:t xml:space="preserve">e Títulos </w:t>
      </w:r>
      <w:r w:rsidR="003C64B4" w:rsidRPr="00371E44">
        <w:rPr>
          <w:rFonts w:ascii="Open Sans" w:hAnsi="Open Sans" w:cs="Open Sans"/>
          <w:sz w:val="20"/>
          <w:szCs w:val="20"/>
        </w:rPr>
        <w:t>e</w:t>
      </w:r>
      <w:r w:rsidR="0041488C" w:rsidRPr="00371E44">
        <w:rPr>
          <w:rFonts w:ascii="Open Sans" w:hAnsi="Open Sans" w:cs="Open Sans"/>
          <w:sz w:val="20"/>
          <w:szCs w:val="20"/>
        </w:rPr>
        <w:t xml:space="preserve"> Valores Mobiliários Ltda., sociedade limitada empresária, atuando por sua filial na Cidade de São Paulo, Estado de São Paulo, na Rua Joaquim Floriano</w:t>
      </w:r>
      <w:r w:rsidR="0041488C" w:rsidRPr="0041488C">
        <w:rPr>
          <w:rFonts w:ascii="Open Sans" w:hAnsi="Open Sans" w:cs="Open Sans"/>
          <w:sz w:val="20"/>
          <w:szCs w:val="20"/>
        </w:rPr>
        <w:t xml:space="preserve">, nº 466, bloco B, Conj, 1401, CEP 04534-002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65B3D" w14:textId="77777777" w:rsidR="00C305B1" w:rsidRDefault="00C305B1" w:rsidP="00421DD1">
      <w:r>
        <w:separator/>
      </w:r>
    </w:p>
  </w:endnote>
  <w:endnote w:type="continuationSeparator" w:id="0">
    <w:p w14:paraId="4549F356" w14:textId="77777777" w:rsidR="00C305B1" w:rsidRDefault="00C305B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Content>
      <w:sdt>
        <w:sdtPr>
          <w:id w:val="-1495097522"/>
          <w:docPartObj>
            <w:docPartGallery w:val="Page Numbers (Top of Page)"/>
            <w:docPartUnique/>
          </w:docPartObj>
        </w:sdtPr>
        <w:sdtContent>
          <w:p w14:paraId="1F7061B0" w14:textId="77777777" w:rsidR="00B667EE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BE330" w14:textId="77777777" w:rsidR="00C305B1" w:rsidRDefault="00C305B1" w:rsidP="00421DD1">
      <w:r>
        <w:separator/>
      </w:r>
    </w:p>
  </w:footnote>
  <w:footnote w:type="continuationSeparator" w:id="0">
    <w:p w14:paraId="0992E69B" w14:textId="77777777" w:rsidR="00C305B1" w:rsidRDefault="00C305B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B667EE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B667EE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9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3"/>
  </w:num>
  <w:num w:numId="9" w16cid:durableId="1076433941">
    <w:abstractNumId w:val="10"/>
  </w:num>
  <w:num w:numId="10" w16cid:durableId="1870993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8"/>
  </w:num>
  <w:num w:numId="13" w16cid:durableId="2060321044">
    <w:abstractNumId w:val="12"/>
  </w:num>
  <w:num w:numId="14" w16cid:durableId="173958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7"/>
  </w:num>
  <w:num w:numId="16" w16cid:durableId="1740320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6C91"/>
    <w:rsid w:val="00BA27A0"/>
    <w:rsid w:val="00BB48C1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3" ma:contentTypeDescription="Criar um novo documento." ma:contentTypeScope="" ma:versionID="df7ad4ca4b2f80f5acd4b2dc0090b626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67f1b8c318f1515a1e37afa7dbe7aef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HYRCNR5SWDYV-532882092-23830</_dlc_DocId>
    <_dlc_DocIdUrl xmlns="b9360862-552f-4963-8e0f-4f94fc1c70f6">
      <Url>https://contatofortesec.sharepoint.com/sites/Controledeobrigaes/_layouts/15/DocIdRedir.aspx?ID=HYRCNR5SWDYV-532882092-23830</Url>
      <Description>HYRCNR5SWDYV-532882092-23830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32385B1-2B39-4A62-981F-AAEDE679A9E0}"/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5</Pages>
  <Words>1697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82</cp:revision>
  <cp:lastPrinted>2023-03-29T19:12:00Z</cp:lastPrinted>
  <dcterms:created xsi:type="dcterms:W3CDTF">2022-09-20T22:13:00Z</dcterms:created>
  <dcterms:modified xsi:type="dcterms:W3CDTF">2023-03-29T19:12:00Z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716c3833-2351-4e6e-96d7-4d307a8ad419</vt:lpwstr>
  </property>
  <property fmtid="{D5CDD505-2E9C-101B-9397-08002B2CF9AE}" pid="5" name="MediaServiceImageTags">
    <vt:lpwstr/>
  </property>
</Properties>
</file>